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0" w:rsidRDefault="00EA5820" w:rsidP="00EA5820">
      <w:pPr>
        <w:jc w:val="both"/>
        <w:rPr>
          <w:sz w:val="23"/>
          <w:szCs w:val="23"/>
        </w:rPr>
      </w:pPr>
      <w:bookmarkStart w:id="0" w:name="_GoBack"/>
      <w:bookmarkEnd w:id="0"/>
    </w:p>
    <w:p w:rsidR="007F0739" w:rsidRPr="00AE7E53" w:rsidRDefault="007F0739" w:rsidP="007F073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E7E5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63A92" w:rsidRPr="00AE7E53">
        <w:rPr>
          <w:rFonts w:ascii="Arial" w:hAnsi="Arial" w:cs="Arial"/>
          <w:color w:val="000000"/>
          <w:sz w:val="22"/>
          <w:szCs w:val="22"/>
        </w:rPr>
        <w:t xml:space="preserve">Disability Services (Criminal History) Amendment </w:t>
      </w:r>
      <w:r w:rsidRPr="00AE7E53">
        <w:rPr>
          <w:rFonts w:ascii="Arial" w:hAnsi="Arial" w:cs="Arial"/>
          <w:color w:val="000000"/>
          <w:sz w:val="22"/>
          <w:szCs w:val="22"/>
        </w:rPr>
        <w:t xml:space="preserve">Bill </w:t>
      </w:r>
      <w:r w:rsidR="00F63A92" w:rsidRPr="00AE7E53">
        <w:rPr>
          <w:rFonts w:ascii="Arial" w:hAnsi="Arial" w:cs="Arial"/>
          <w:color w:val="000000"/>
          <w:sz w:val="22"/>
          <w:szCs w:val="22"/>
        </w:rPr>
        <w:t xml:space="preserve">2009 </w:t>
      </w:r>
      <w:r w:rsidR="00261844">
        <w:rPr>
          <w:rFonts w:ascii="Arial" w:hAnsi="Arial" w:cs="Arial"/>
          <w:color w:val="000000"/>
          <w:sz w:val="22"/>
          <w:szCs w:val="22"/>
        </w:rPr>
        <w:t xml:space="preserve">was introduced into Parliament </w:t>
      </w:r>
      <w:r w:rsidRPr="00AE7E53">
        <w:rPr>
          <w:rFonts w:ascii="Arial" w:hAnsi="Arial" w:cs="Arial"/>
          <w:color w:val="000000"/>
          <w:sz w:val="22"/>
          <w:szCs w:val="22"/>
        </w:rPr>
        <w:t xml:space="preserve">as a Private Member’s Bill </w:t>
      </w:r>
      <w:r w:rsidR="00F63A92" w:rsidRPr="00AE7E53">
        <w:rPr>
          <w:rFonts w:ascii="Arial" w:hAnsi="Arial" w:cs="Arial"/>
          <w:color w:val="000000"/>
          <w:sz w:val="22"/>
          <w:szCs w:val="22"/>
        </w:rPr>
        <w:t>in</w:t>
      </w:r>
      <w:r w:rsidRPr="00AE7E53">
        <w:rPr>
          <w:rFonts w:ascii="Arial" w:hAnsi="Arial" w:cs="Arial"/>
          <w:color w:val="000000"/>
          <w:sz w:val="22"/>
          <w:szCs w:val="22"/>
        </w:rPr>
        <w:t xml:space="preserve"> October 2009. The Bill would amend the </w:t>
      </w:r>
      <w:r w:rsidRPr="00AE7E53">
        <w:rPr>
          <w:rFonts w:ascii="Arial" w:hAnsi="Arial" w:cs="Arial"/>
          <w:i/>
          <w:iCs/>
          <w:color w:val="000000"/>
          <w:sz w:val="22"/>
          <w:szCs w:val="22"/>
        </w:rPr>
        <w:t xml:space="preserve">Disability Services Act 2006 </w:t>
      </w:r>
      <w:r w:rsidRPr="00AE7E53">
        <w:rPr>
          <w:rFonts w:ascii="Arial" w:hAnsi="Arial" w:cs="Arial"/>
          <w:color w:val="000000"/>
          <w:sz w:val="22"/>
          <w:szCs w:val="22"/>
        </w:rPr>
        <w:t xml:space="preserve">(DSA). </w:t>
      </w:r>
    </w:p>
    <w:p w:rsidR="00AE7E53" w:rsidRPr="00AE7E53" w:rsidRDefault="00AE7E53" w:rsidP="00AE7E53">
      <w:pPr>
        <w:jc w:val="both"/>
        <w:rPr>
          <w:rFonts w:ascii="Arial" w:hAnsi="Arial" w:cs="Arial"/>
          <w:sz w:val="22"/>
          <w:szCs w:val="22"/>
        </w:rPr>
      </w:pPr>
    </w:p>
    <w:p w:rsidR="00EA5820" w:rsidRDefault="00EA5820" w:rsidP="0016535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A5820">
        <w:rPr>
          <w:rFonts w:ascii="Arial" w:hAnsi="Arial" w:cs="Arial"/>
          <w:sz w:val="22"/>
          <w:szCs w:val="22"/>
        </w:rPr>
        <w:t>The DSA is one of a number of pieces of legislation that provides for the criminal history screening of persons who provide services for vulnerable people. The DSA also provide</w:t>
      </w:r>
      <w:r w:rsidR="00797D18">
        <w:rPr>
          <w:rFonts w:ascii="Arial" w:hAnsi="Arial" w:cs="Arial"/>
          <w:sz w:val="22"/>
          <w:szCs w:val="22"/>
        </w:rPr>
        <w:t>d</w:t>
      </w:r>
      <w:r w:rsidRPr="00EA5820">
        <w:rPr>
          <w:rFonts w:ascii="Arial" w:hAnsi="Arial" w:cs="Arial"/>
          <w:sz w:val="22"/>
          <w:szCs w:val="22"/>
        </w:rPr>
        <w:t xml:space="preserve"> that if a funded non-government service provider propose</w:t>
      </w:r>
      <w:r w:rsidR="00797D18">
        <w:rPr>
          <w:rFonts w:ascii="Arial" w:hAnsi="Arial" w:cs="Arial"/>
          <w:sz w:val="22"/>
          <w:szCs w:val="22"/>
        </w:rPr>
        <w:t>d</w:t>
      </w:r>
      <w:r w:rsidRPr="00EA5820">
        <w:rPr>
          <w:rFonts w:ascii="Arial" w:hAnsi="Arial" w:cs="Arial"/>
          <w:sz w:val="22"/>
          <w:szCs w:val="22"/>
        </w:rPr>
        <w:t xml:space="preserve"> to engage a person</w:t>
      </w:r>
      <w:r w:rsidR="00797D18">
        <w:rPr>
          <w:rFonts w:ascii="Arial" w:hAnsi="Arial" w:cs="Arial"/>
          <w:sz w:val="22"/>
          <w:szCs w:val="22"/>
        </w:rPr>
        <w:t xml:space="preserve"> at a service outlet</w:t>
      </w:r>
      <w:r w:rsidR="00B6440B">
        <w:rPr>
          <w:rFonts w:ascii="Arial" w:hAnsi="Arial" w:cs="Arial"/>
          <w:sz w:val="22"/>
          <w:szCs w:val="22"/>
        </w:rPr>
        <w:t>,</w:t>
      </w:r>
      <w:r w:rsidRPr="00EA5820">
        <w:rPr>
          <w:rFonts w:ascii="Arial" w:hAnsi="Arial" w:cs="Arial"/>
          <w:sz w:val="22"/>
          <w:szCs w:val="22"/>
        </w:rPr>
        <w:t xml:space="preserve"> the service provider must apply for criminal history screening of the person. The chief executive </w:t>
      </w:r>
      <w:r w:rsidR="00797D18">
        <w:rPr>
          <w:rFonts w:ascii="Arial" w:hAnsi="Arial" w:cs="Arial"/>
          <w:sz w:val="22"/>
          <w:szCs w:val="22"/>
        </w:rPr>
        <w:t>would</w:t>
      </w:r>
      <w:r w:rsidRPr="00EA5820">
        <w:rPr>
          <w:rFonts w:ascii="Arial" w:hAnsi="Arial" w:cs="Arial"/>
          <w:sz w:val="22"/>
          <w:szCs w:val="22"/>
        </w:rPr>
        <w:t xml:space="preserve"> then consider whether the person should be issued with a positive notice (Yellow Card) or negative notice. If a person </w:t>
      </w:r>
      <w:r w:rsidR="00797D18">
        <w:rPr>
          <w:rFonts w:ascii="Arial" w:hAnsi="Arial" w:cs="Arial"/>
          <w:sz w:val="22"/>
          <w:szCs w:val="22"/>
        </w:rPr>
        <w:t>was</w:t>
      </w:r>
      <w:r w:rsidRPr="00EA5820">
        <w:rPr>
          <w:rFonts w:ascii="Arial" w:hAnsi="Arial" w:cs="Arial"/>
          <w:sz w:val="22"/>
          <w:szCs w:val="22"/>
        </w:rPr>
        <w:t xml:space="preserve"> issued with a negative notice, the person c</w:t>
      </w:r>
      <w:r w:rsidR="00797D18">
        <w:rPr>
          <w:rFonts w:ascii="Arial" w:hAnsi="Arial" w:cs="Arial"/>
          <w:sz w:val="22"/>
          <w:szCs w:val="22"/>
        </w:rPr>
        <w:t>ould not</w:t>
      </w:r>
      <w:r w:rsidRPr="00EA5820">
        <w:rPr>
          <w:rFonts w:ascii="Arial" w:hAnsi="Arial" w:cs="Arial"/>
          <w:sz w:val="22"/>
          <w:szCs w:val="22"/>
        </w:rPr>
        <w:t xml:space="preserve"> be engaged</w:t>
      </w:r>
      <w:r w:rsidR="00797D18">
        <w:rPr>
          <w:rFonts w:ascii="Arial" w:hAnsi="Arial" w:cs="Arial"/>
          <w:sz w:val="22"/>
          <w:szCs w:val="22"/>
        </w:rPr>
        <w:t xml:space="preserve"> at a place</w:t>
      </w:r>
      <w:r w:rsidRPr="00EA5820">
        <w:rPr>
          <w:rFonts w:ascii="Arial" w:hAnsi="Arial" w:cs="Arial"/>
          <w:sz w:val="22"/>
          <w:szCs w:val="22"/>
        </w:rPr>
        <w:t xml:space="preserve"> where disability services are provided. </w:t>
      </w:r>
    </w:p>
    <w:p w:rsidR="0016535C" w:rsidRDefault="0016535C" w:rsidP="0016535C">
      <w:pPr>
        <w:jc w:val="both"/>
        <w:rPr>
          <w:rFonts w:ascii="Arial" w:hAnsi="Arial" w:cs="Arial"/>
          <w:sz w:val="22"/>
          <w:szCs w:val="22"/>
        </w:rPr>
      </w:pPr>
    </w:p>
    <w:p w:rsidR="001A43F0" w:rsidRDefault="00797D18" w:rsidP="001A43F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A5820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 Private Member’s Bill proposed</w:t>
      </w:r>
      <w:r w:rsidRPr="00EA5820">
        <w:rPr>
          <w:rFonts w:ascii="Arial" w:hAnsi="Arial" w:cs="Arial"/>
          <w:sz w:val="22"/>
          <w:szCs w:val="22"/>
        </w:rPr>
        <w:t xml:space="preserve"> to further amend the DSA to provide for the issue of a ‘carer prohibition notice’ about a person who has a violent criminal history. Under the Bill, a person who has a conviction for a violent offence committed within the pre</w:t>
      </w:r>
      <w:r w:rsidR="00B2333E">
        <w:rPr>
          <w:rFonts w:ascii="Arial" w:hAnsi="Arial" w:cs="Arial"/>
          <w:sz w:val="22"/>
          <w:szCs w:val="22"/>
        </w:rPr>
        <w:t>vious seven years who sought</w:t>
      </w:r>
      <w:r w:rsidRPr="00EA5820">
        <w:rPr>
          <w:rFonts w:ascii="Arial" w:hAnsi="Arial" w:cs="Arial"/>
          <w:sz w:val="22"/>
          <w:szCs w:val="22"/>
        </w:rPr>
        <w:t xml:space="preserve"> engagement as a carer by a departmental provide</w:t>
      </w:r>
      <w:r w:rsidR="00AD0137">
        <w:rPr>
          <w:rFonts w:ascii="Arial" w:hAnsi="Arial" w:cs="Arial"/>
          <w:sz w:val="22"/>
          <w:szCs w:val="22"/>
        </w:rPr>
        <w:t>r</w:t>
      </w:r>
      <w:r w:rsidRPr="00EA5820">
        <w:rPr>
          <w:rFonts w:ascii="Arial" w:hAnsi="Arial" w:cs="Arial"/>
          <w:sz w:val="22"/>
          <w:szCs w:val="22"/>
        </w:rPr>
        <w:t xml:space="preserve"> or funded service provider and about whom the chief executive does not propose to issue</w:t>
      </w:r>
      <w:r w:rsidR="00B2333E">
        <w:rPr>
          <w:rFonts w:ascii="Arial" w:hAnsi="Arial" w:cs="Arial"/>
          <w:sz w:val="22"/>
          <w:szCs w:val="22"/>
        </w:rPr>
        <w:t xml:space="preserve"> a negative notice, or who sought</w:t>
      </w:r>
      <w:r w:rsidRPr="00EA5820">
        <w:rPr>
          <w:rFonts w:ascii="Arial" w:hAnsi="Arial" w:cs="Arial"/>
          <w:sz w:val="22"/>
          <w:szCs w:val="22"/>
        </w:rPr>
        <w:t xml:space="preserve"> engagement by a non-funded service provider, must be issued with a carer prohibition notice. </w:t>
      </w:r>
    </w:p>
    <w:p w:rsidR="001A43F0" w:rsidRDefault="001A43F0" w:rsidP="001A43F0">
      <w:pPr>
        <w:jc w:val="both"/>
        <w:rPr>
          <w:rFonts w:ascii="Arial" w:hAnsi="Arial" w:cs="Arial"/>
          <w:sz w:val="22"/>
          <w:szCs w:val="22"/>
        </w:rPr>
      </w:pPr>
    </w:p>
    <w:p w:rsidR="00797D18" w:rsidRPr="00EA5820" w:rsidRDefault="00B2333E" w:rsidP="001A43F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person who had</w:t>
      </w:r>
      <w:r w:rsidR="00797D18" w:rsidRPr="00EA5820">
        <w:rPr>
          <w:rFonts w:ascii="Arial" w:hAnsi="Arial" w:cs="Arial"/>
          <w:sz w:val="22"/>
          <w:szCs w:val="22"/>
        </w:rPr>
        <w:t xml:space="preserve"> a charge for a violent offence alleged to have been committed within the previous seven years must be issued with a carer prohibition notice unless there is an exceptional case in which it would not harm the interests of people with a disability if the person was engaged as a carer. If a ‘carer prohibition notice’ is issued about a person, the person cannot be engaged as a carer by either a funded</w:t>
      </w:r>
      <w:r w:rsidR="00797D18">
        <w:rPr>
          <w:rFonts w:ascii="Arial" w:hAnsi="Arial" w:cs="Arial"/>
          <w:sz w:val="22"/>
          <w:szCs w:val="22"/>
        </w:rPr>
        <w:t xml:space="preserve"> </w:t>
      </w:r>
      <w:r w:rsidR="00797D18" w:rsidRPr="00EA5820">
        <w:rPr>
          <w:rFonts w:ascii="Arial" w:hAnsi="Arial" w:cs="Arial"/>
          <w:sz w:val="22"/>
          <w:szCs w:val="22"/>
        </w:rPr>
        <w:t>or non-fun</w:t>
      </w:r>
      <w:r>
        <w:rPr>
          <w:rFonts w:ascii="Arial" w:hAnsi="Arial" w:cs="Arial"/>
          <w:sz w:val="22"/>
          <w:szCs w:val="22"/>
        </w:rPr>
        <w:t>ded service provider.</w:t>
      </w:r>
    </w:p>
    <w:p w:rsidR="00797D18" w:rsidRDefault="00797D18" w:rsidP="0016535C">
      <w:pPr>
        <w:jc w:val="both"/>
        <w:rPr>
          <w:rFonts w:ascii="Arial" w:hAnsi="Arial" w:cs="Arial"/>
          <w:sz w:val="22"/>
          <w:szCs w:val="22"/>
        </w:rPr>
      </w:pPr>
    </w:p>
    <w:p w:rsidR="00EA5820" w:rsidRPr="00EA5820" w:rsidRDefault="0016535C" w:rsidP="0016535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390262">
        <w:rPr>
          <w:rFonts w:ascii="Arial" w:hAnsi="Arial" w:cs="Arial"/>
          <w:sz w:val="22"/>
          <w:szCs w:val="22"/>
        </w:rPr>
        <w:t>December 2009</w:t>
      </w:r>
      <w:r>
        <w:rPr>
          <w:rFonts w:ascii="Arial" w:hAnsi="Arial" w:cs="Arial"/>
          <w:sz w:val="22"/>
          <w:szCs w:val="22"/>
        </w:rPr>
        <w:t xml:space="preserve">, </w:t>
      </w:r>
      <w:r w:rsidR="00EA5820" w:rsidRPr="00EA5820">
        <w:rPr>
          <w:rFonts w:ascii="Arial" w:hAnsi="Arial" w:cs="Arial"/>
          <w:sz w:val="22"/>
          <w:szCs w:val="22"/>
        </w:rPr>
        <w:t xml:space="preserve">Cabinet approved the </w:t>
      </w:r>
      <w:r w:rsidR="00390262">
        <w:rPr>
          <w:rFonts w:ascii="Arial" w:hAnsi="Arial" w:cs="Arial"/>
          <w:sz w:val="22"/>
          <w:szCs w:val="22"/>
        </w:rPr>
        <w:t>introduction</w:t>
      </w:r>
      <w:r w:rsidR="00390262" w:rsidRPr="00EA5820">
        <w:rPr>
          <w:rFonts w:ascii="Arial" w:hAnsi="Arial" w:cs="Arial"/>
          <w:sz w:val="22"/>
          <w:szCs w:val="22"/>
        </w:rPr>
        <w:t xml:space="preserve"> </w:t>
      </w:r>
      <w:r w:rsidR="00EA5820" w:rsidRPr="00EA5820">
        <w:rPr>
          <w:rFonts w:ascii="Arial" w:hAnsi="Arial" w:cs="Arial"/>
          <w:sz w:val="22"/>
          <w:szCs w:val="22"/>
        </w:rPr>
        <w:t xml:space="preserve">of the Criminal History Screening Legislation Amendment Bill 2009 (CHSLAB). One of the purposes of the CHSLAB </w:t>
      </w:r>
      <w:r w:rsidR="00797D18">
        <w:rPr>
          <w:rFonts w:ascii="Arial" w:hAnsi="Arial" w:cs="Arial"/>
          <w:sz w:val="22"/>
          <w:szCs w:val="22"/>
        </w:rPr>
        <w:t>wa</w:t>
      </w:r>
      <w:r w:rsidR="00EA5820" w:rsidRPr="00EA5820">
        <w:rPr>
          <w:rFonts w:ascii="Arial" w:hAnsi="Arial" w:cs="Arial"/>
          <w:sz w:val="22"/>
          <w:szCs w:val="22"/>
        </w:rPr>
        <w:t xml:space="preserve">s to streamline criminal history screening by </w:t>
      </w:r>
      <w:r w:rsidR="00A34088">
        <w:rPr>
          <w:rFonts w:ascii="Arial" w:hAnsi="Arial" w:cs="Arial"/>
          <w:sz w:val="22"/>
          <w:szCs w:val="22"/>
        </w:rPr>
        <w:t xml:space="preserve">reducing duplication </w:t>
      </w:r>
      <w:r w:rsidR="00EA5820" w:rsidRPr="00EA5820">
        <w:rPr>
          <w:rFonts w:ascii="Arial" w:hAnsi="Arial" w:cs="Arial"/>
          <w:sz w:val="22"/>
          <w:szCs w:val="22"/>
        </w:rPr>
        <w:t xml:space="preserve">and linking existing screening regimes. The CHSLAB </w:t>
      </w:r>
      <w:r w:rsidR="001A43F0">
        <w:rPr>
          <w:rFonts w:ascii="Arial" w:hAnsi="Arial" w:cs="Arial"/>
          <w:sz w:val="22"/>
          <w:szCs w:val="22"/>
        </w:rPr>
        <w:t xml:space="preserve">proposed to </w:t>
      </w:r>
      <w:r w:rsidR="00EA5820" w:rsidRPr="00EA5820">
        <w:rPr>
          <w:rFonts w:ascii="Arial" w:hAnsi="Arial" w:cs="Arial"/>
          <w:sz w:val="22"/>
          <w:szCs w:val="22"/>
        </w:rPr>
        <w:t xml:space="preserve">amend various legislation containing criminal history screening provisions, including the DSA to </w:t>
      </w:r>
      <w:r w:rsidR="00A34088">
        <w:rPr>
          <w:rFonts w:ascii="Arial" w:hAnsi="Arial" w:cs="Arial"/>
          <w:sz w:val="22"/>
          <w:szCs w:val="22"/>
        </w:rPr>
        <w:t xml:space="preserve">increase the </w:t>
      </w:r>
      <w:r w:rsidR="00EA5820" w:rsidRPr="00EA5820">
        <w:rPr>
          <w:rFonts w:ascii="Arial" w:hAnsi="Arial" w:cs="Arial"/>
          <w:sz w:val="22"/>
          <w:szCs w:val="22"/>
        </w:rPr>
        <w:t>consistency between the various screening regimes.</w:t>
      </w:r>
    </w:p>
    <w:p w:rsidR="00EA5820" w:rsidRPr="00EA5820" w:rsidRDefault="00EA5820" w:rsidP="00EA5820">
      <w:pPr>
        <w:tabs>
          <w:tab w:val="num" w:pos="180"/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CE6FBA" w:rsidRPr="00CE6FBA" w:rsidRDefault="00CE6FBA" w:rsidP="0016535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97D18">
        <w:rPr>
          <w:rFonts w:ascii="Arial" w:hAnsi="Arial" w:cs="Arial"/>
          <w:sz w:val="22"/>
          <w:szCs w:val="22"/>
          <w:u w:val="single"/>
        </w:rPr>
        <w:t>decided to o</w:t>
      </w:r>
      <w:r w:rsidRPr="008F44CD">
        <w:rPr>
          <w:rFonts w:ascii="Arial" w:hAnsi="Arial" w:cs="Arial"/>
          <w:sz w:val="22"/>
          <w:szCs w:val="22"/>
          <w:u w:val="single"/>
        </w:rPr>
        <w:t>ppo</w:t>
      </w:r>
      <w:r w:rsidR="00EA5820">
        <w:rPr>
          <w:rFonts w:ascii="Arial" w:hAnsi="Arial" w:cs="Arial"/>
          <w:sz w:val="22"/>
          <w:szCs w:val="22"/>
          <w:u w:val="single"/>
        </w:rPr>
        <w:t>s</w:t>
      </w:r>
      <w:r w:rsidRPr="008F44CD">
        <w:rPr>
          <w:rFonts w:ascii="Arial" w:hAnsi="Arial" w:cs="Arial"/>
          <w:sz w:val="22"/>
          <w:szCs w:val="22"/>
          <w:u w:val="single"/>
        </w:rPr>
        <w:t>e</w:t>
      </w:r>
      <w:r w:rsidR="00797D18">
        <w:rPr>
          <w:rFonts w:ascii="Arial" w:hAnsi="Arial" w:cs="Arial"/>
          <w:sz w:val="22"/>
          <w:szCs w:val="22"/>
          <w:u w:val="single"/>
        </w:rPr>
        <w:t xml:space="preserve"> </w:t>
      </w:r>
      <w:r w:rsidR="00EA5820" w:rsidRPr="00EA5820">
        <w:rPr>
          <w:rFonts w:ascii="Arial" w:hAnsi="Arial" w:cs="Arial"/>
          <w:sz w:val="22"/>
          <w:szCs w:val="22"/>
        </w:rPr>
        <w:t xml:space="preserve">the </w:t>
      </w:r>
      <w:r w:rsidR="00EA5820" w:rsidRPr="00EA5820">
        <w:rPr>
          <w:rFonts w:ascii="Arial" w:hAnsi="Arial" w:cs="Arial"/>
          <w:spacing w:val="-3"/>
          <w:sz w:val="22"/>
          <w:szCs w:val="22"/>
        </w:rPr>
        <w:t xml:space="preserve">Disability Services (Criminal History) Amendment Bill 2009 </w:t>
      </w:r>
      <w:r w:rsidR="00EA5820" w:rsidRPr="00EA5820">
        <w:rPr>
          <w:rFonts w:ascii="Arial" w:hAnsi="Arial" w:cs="Arial"/>
          <w:sz w:val="22"/>
          <w:szCs w:val="22"/>
        </w:rPr>
        <w:t>but</w:t>
      </w:r>
      <w:r w:rsidR="00A34088">
        <w:rPr>
          <w:rFonts w:ascii="Arial" w:hAnsi="Arial" w:cs="Arial"/>
          <w:sz w:val="22"/>
          <w:szCs w:val="22"/>
        </w:rPr>
        <w:t xml:space="preserve"> </w:t>
      </w:r>
      <w:r w:rsidR="00EA5820" w:rsidRPr="00EA5820">
        <w:rPr>
          <w:rFonts w:ascii="Arial" w:hAnsi="Arial" w:cs="Arial"/>
          <w:sz w:val="22"/>
          <w:szCs w:val="22"/>
        </w:rPr>
        <w:t>consider the extension of safeguards, including criminal history screening, to the non-funded sector when the DSA is reviewed in 2010–2011.</w:t>
      </w:r>
    </w:p>
    <w:p w:rsidR="00C07656" w:rsidRPr="00C07656" w:rsidRDefault="00C07656" w:rsidP="0026184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16535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Default="009A7DD1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F005CF" w:rsidRPr="00261844">
          <w:rPr>
            <w:rStyle w:val="Hyperlink"/>
            <w:rFonts w:ascii="Arial" w:hAnsi="Arial" w:cs="Arial"/>
            <w:sz w:val="22"/>
            <w:szCs w:val="22"/>
          </w:rPr>
          <w:t>Disability Services (Criminal History) Amendment Bill 2009</w:t>
        </w:r>
      </w:hyperlink>
    </w:p>
    <w:p w:rsidR="00F005CF" w:rsidRDefault="009A7DD1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F005CF" w:rsidRPr="0026184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0B545C" w:rsidRDefault="000B545C">
      <w:pPr>
        <w:rPr>
          <w:rFonts w:ascii="Arial" w:hAnsi="Arial" w:cs="Arial"/>
          <w:sz w:val="22"/>
          <w:szCs w:val="22"/>
        </w:rPr>
      </w:pPr>
    </w:p>
    <w:sectPr w:rsidR="000B545C" w:rsidSect="007D3B9D">
      <w:head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77" w:rsidRDefault="00EF5377">
      <w:r>
        <w:separator/>
      </w:r>
    </w:p>
  </w:endnote>
  <w:endnote w:type="continuationSeparator" w:id="0">
    <w:p w:rsidR="00EF5377" w:rsidRDefault="00EF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77" w:rsidRDefault="00EF5377">
      <w:r>
        <w:separator/>
      </w:r>
    </w:p>
  </w:footnote>
  <w:footnote w:type="continuationSeparator" w:id="0">
    <w:p w:rsidR="00EF5377" w:rsidRDefault="00EF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99" w:rsidRPr="000400F9" w:rsidRDefault="000F1116" w:rsidP="00797D1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09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86099">
      <w:rPr>
        <w:rFonts w:ascii="Arial" w:hAnsi="Arial" w:cs="Arial"/>
        <w:b/>
        <w:sz w:val="22"/>
        <w:szCs w:val="22"/>
        <w:u w:val="single"/>
      </w:rPr>
      <w:t>January 2010</w:t>
    </w:r>
  </w:p>
  <w:p w:rsidR="00F86099" w:rsidRDefault="00F86099" w:rsidP="007F073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Private Member’s Bill - Disability Services (Criminal History) Amendment Bill 2009</w:t>
    </w:r>
  </w:p>
  <w:p w:rsidR="00F86099" w:rsidRDefault="00F86099" w:rsidP="007F073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Disability Services and Multicultural Affairs</w:t>
    </w:r>
  </w:p>
  <w:p w:rsidR="00F86099" w:rsidRPr="00F10DF9" w:rsidRDefault="00F86099" w:rsidP="00797D18">
    <w:pPr>
      <w:pStyle w:val="Header"/>
      <w:pBdr>
        <w:bottom w:val="single" w:sz="8" w:space="1" w:color="auto"/>
      </w:pBdr>
      <w:spacing w:line="180" w:lineRule="exact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484"/>
    <w:multiLevelType w:val="hybridMultilevel"/>
    <w:tmpl w:val="635C2D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795"/>
    <w:multiLevelType w:val="hybridMultilevel"/>
    <w:tmpl w:val="95F6AB6A"/>
    <w:lvl w:ilvl="0" w:tplc="72D4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617D8"/>
    <w:multiLevelType w:val="hybridMultilevel"/>
    <w:tmpl w:val="EBA6F8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A0B14"/>
    <w:multiLevelType w:val="hybridMultilevel"/>
    <w:tmpl w:val="516ADE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263"/>
        </w:tabs>
        <w:ind w:left="126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20"/>
    <w:rsid w:val="00021B34"/>
    <w:rsid w:val="000400F9"/>
    <w:rsid w:val="000B545C"/>
    <w:rsid w:val="000D3C61"/>
    <w:rsid w:val="000F1116"/>
    <w:rsid w:val="001141E1"/>
    <w:rsid w:val="00131214"/>
    <w:rsid w:val="00133013"/>
    <w:rsid w:val="00133A34"/>
    <w:rsid w:val="00160524"/>
    <w:rsid w:val="0016535C"/>
    <w:rsid w:val="00165D8E"/>
    <w:rsid w:val="001A43F0"/>
    <w:rsid w:val="001D659B"/>
    <w:rsid w:val="00254E35"/>
    <w:rsid w:val="00261844"/>
    <w:rsid w:val="0028053C"/>
    <w:rsid w:val="002A43C6"/>
    <w:rsid w:val="002F57E4"/>
    <w:rsid w:val="00314FEB"/>
    <w:rsid w:val="0032048B"/>
    <w:rsid w:val="00346156"/>
    <w:rsid w:val="00382380"/>
    <w:rsid w:val="00390262"/>
    <w:rsid w:val="003A269C"/>
    <w:rsid w:val="003A2E0F"/>
    <w:rsid w:val="003C3732"/>
    <w:rsid w:val="00435BE5"/>
    <w:rsid w:val="0048019C"/>
    <w:rsid w:val="00486A99"/>
    <w:rsid w:val="004C6E1E"/>
    <w:rsid w:val="004E0B56"/>
    <w:rsid w:val="004E6C38"/>
    <w:rsid w:val="00562AE4"/>
    <w:rsid w:val="0056401D"/>
    <w:rsid w:val="005B1D9B"/>
    <w:rsid w:val="005C224F"/>
    <w:rsid w:val="006100CC"/>
    <w:rsid w:val="00644076"/>
    <w:rsid w:val="006631CF"/>
    <w:rsid w:val="00682036"/>
    <w:rsid w:val="006B3B54"/>
    <w:rsid w:val="006C4E10"/>
    <w:rsid w:val="006D0869"/>
    <w:rsid w:val="006E331D"/>
    <w:rsid w:val="006E6713"/>
    <w:rsid w:val="007060D7"/>
    <w:rsid w:val="00710AAE"/>
    <w:rsid w:val="00726F36"/>
    <w:rsid w:val="00796B3E"/>
    <w:rsid w:val="00797D18"/>
    <w:rsid w:val="007A25F4"/>
    <w:rsid w:val="007A6599"/>
    <w:rsid w:val="007B33E6"/>
    <w:rsid w:val="007C2646"/>
    <w:rsid w:val="007D3B9D"/>
    <w:rsid w:val="007F0739"/>
    <w:rsid w:val="007F52D6"/>
    <w:rsid w:val="00816C53"/>
    <w:rsid w:val="0082040E"/>
    <w:rsid w:val="00845D3E"/>
    <w:rsid w:val="008A5F1B"/>
    <w:rsid w:val="008B7E17"/>
    <w:rsid w:val="008C3732"/>
    <w:rsid w:val="008C60F2"/>
    <w:rsid w:val="008F44CD"/>
    <w:rsid w:val="00922A5B"/>
    <w:rsid w:val="00936880"/>
    <w:rsid w:val="00955D4C"/>
    <w:rsid w:val="009A7DD1"/>
    <w:rsid w:val="009C7A3B"/>
    <w:rsid w:val="009D0C12"/>
    <w:rsid w:val="009F5476"/>
    <w:rsid w:val="00A20C0E"/>
    <w:rsid w:val="00A30F55"/>
    <w:rsid w:val="00A34088"/>
    <w:rsid w:val="00A354FF"/>
    <w:rsid w:val="00A527A5"/>
    <w:rsid w:val="00AA128C"/>
    <w:rsid w:val="00AB6637"/>
    <w:rsid w:val="00AD0137"/>
    <w:rsid w:val="00AE1995"/>
    <w:rsid w:val="00AE201A"/>
    <w:rsid w:val="00AE7E53"/>
    <w:rsid w:val="00B2333E"/>
    <w:rsid w:val="00B40BDF"/>
    <w:rsid w:val="00B40FC1"/>
    <w:rsid w:val="00B6440B"/>
    <w:rsid w:val="00BC1CC2"/>
    <w:rsid w:val="00C07656"/>
    <w:rsid w:val="00C22E6C"/>
    <w:rsid w:val="00C805EC"/>
    <w:rsid w:val="00C85B71"/>
    <w:rsid w:val="00CE6FBA"/>
    <w:rsid w:val="00D54601"/>
    <w:rsid w:val="00DB0DD3"/>
    <w:rsid w:val="00DB10CC"/>
    <w:rsid w:val="00DD3CD5"/>
    <w:rsid w:val="00DD497C"/>
    <w:rsid w:val="00DF4650"/>
    <w:rsid w:val="00E463C2"/>
    <w:rsid w:val="00E7436E"/>
    <w:rsid w:val="00EA00BF"/>
    <w:rsid w:val="00EA2DE0"/>
    <w:rsid w:val="00EA5820"/>
    <w:rsid w:val="00ED4D37"/>
    <w:rsid w:val="00EF044D"/>
    <w:rsid w:val="00EF5377"/>
    <w:rsid w:val="00F005CF"/>
    <w:rsid w:val="00F10DF9"/>
    <w:rsid w:val="00F337F6"/>
    <w:rsid w:val="00F46DCA"/>
    <w:rsid w:val="00F63A92"/>
    <w:rsid w:val="00F65738"/>
    <w:rsid w:val="00F756F8"/>
    <w:rsid w:val="00F86099"/>
    <w:rsid w:val="00FB54A6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A5820"/>
    <w:pPr>
      <w:keepNext/>
      <w:jc w:val="both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EA5820"/>
    <w:rPr>
      <w:sz w:val="16"/>
    </w:rPr>
  </w:style>
  <w:style w:type="paragraph" w:styleId="CommentText">
    <w:name w:val="annotation text"/>
    <w:basedOn w:val="Normal"/>
    <w:semiHidden/>
    <w:rsid w:val="00EA582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A34088"/>
    <w:rPr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7F0739"/>
    <w:pPr>
      <w:ind w:left="720"/>
    </w:pPr>
  </w:style>
  <w:style w:type="character" w:styleId="Hyperlink">
    <w:name w:val="Hyperlink"/>
    <w:basedOn w:val="DefaultParagraphFont"/>
    <w:rsid w:val="00261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_P%5b1%5d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ESD\MESB\CLLO\Cabinet\RTI\Procedures\Decision%20Summary%20Template%20v1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v1.1.dot</Template>
  <TotalTime>0</TotalTime>
  <Pages>1</Pages>
  <Words>419</Words>
  <Characters>2200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2614</CharactersWithSpaces>
  <SharedDoc>false</SharedDoc>
  <HyperlinkBase>https://www.cabinet.qld.gov.au/documents/2010/Jan/PMB - Disability Services Bill 09/</HyperlinkBase>
  <HLinks>
    <vt:vector size="12" baseType="variant"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Attachments/Exp_P%5b1%5d.pdf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2010-08-04T01:06:00Z</cp:lastPrinted>
  <dcterms:created xsi:type="dcterms:W3CDTF">2017-10-24T22:19:00Z</dcterms:created>
  <dcterms:modified xsi:type="dcterms:W3CDTF">2018-03-06T01:02:00Z</dcterms:modified>
  <cp:category>Disability_Services,Legislation</cp:category>
</cp:coreProperties>
</file>